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4A94" w:rsidRDefault="00CF4A94" w:rsidP="00CF4A94">
      <w:pPr>
        <w:spacing w:after="200" w:line="300" w:lineRule="atLeast"/>
        <w:rPr>
          <w:rFonts w:ascii="Arial" w:hAnsi="Arial" w:cs="Arial"/>
          <w:color w:val="292929"/>
          <w:sz w:val="21"/>
          <w:szCs w:val="21"/>
        </w:rPr>
      </w:pPr>
      <w:r>
        <w:rPr>
          <w:rFonts w:ascii="Arial" w:hAnsi="Arial" w:cs="Arial"/>
          <w:b/>
          <w:bCs/>
          <w:color w:val="292929"/>
          <w:sz w:val="21"/>
          <w:szCs w:val="21"/>
        </w:rPr>
        <w:t>Bo Zhang</w:t>
      </w:r>
      <w:r>
        <w:rPr>
          <w:rFonts w:ascii="Arial" w:hAnsi="Arial" w:cs="Arial"/>
          <w:color w:val="292929"/>
          <w:sz w:val="21"/>
          <w:szCs w:val="21"/>
        </w:rPr>
        <w:t> received his B.S. and M.S. degrees from Shandong University (1999) and Peking University (2002), respectively. He worked with Professor Henry White at the University of Utah and was awarded a Ph.D. in analytical chemistry in 2006. He joined the UW in 2008 after finishing his postdoctoral research in Professor Andrew Ewing’s laboratory at the Pennsylvania State University. His recent awards include the 2020 American Chemical Society (ACS) Electrochemistry Award, the Sloan Research Fellowship (2012), and the Royce Murray Young Investigator Award (2013) from the Society for Electroanalytical Chemistry (SEAC). In 2014, he was selected as one of the Top 40 under 40 by the </w:t>
      </w:r>
      <w:r>
        <w:rPr>
          <w:rFonts w:ascii="Arial" w:hAnsi="Arial" w:cs="Arial"/>
          <w:i/>
          <w:iCs/>
          <w:color w:val="292929"/>
          <w:sz w:val="21"/>
          <w:szCs w:val="21"/>
        </w:rPr>
        <w:t>Analytical Scientist</w:t>
      </w:r>
      <w:r>
        <w:rPr>
          <w:rFonts w:ascii="Arial" w:hAnsi="Arial" w:cs="Arial"/>
          <w:color w:val="292929"/>
          <w:sz w:val="21"/>
          <w:szCs w:val="21"/>
        </w:rPr>
        <w:t>. He was the President of the Society for Electroanalytical Chemistry (SEAC) in the 2019-2021 term. </w:t>
      </w:r>
    </w:p>
    <w:p w:rsidR="00CF4A94" w:rsidRDefault="00CF4A94" w:rsidP="00CF4A94">
      <w:pPr>
        <w:spacing w:after="200" w:line="300" w:lineRule="atLeast"/>
      </w:pPr>
      <w:r>
        <w:t xml:space="preserve">He will be giving a talk entitled </w:t>
      </w:r>
      <w:r>
        <w:rPr>
          <w:rFonts w:eastAsia="Times New Roman"/>
        </w:rPr>
        <w:t>"</w:t>
      </w:r>
      <w:r>
        <w:rPr>
          <w:rFonts w:eastAsia="Times New Roman"/>
          <w:b/>
          <w:bCs/>
        </w:rPr>
        <w:t>Imaging the Electrochemical Interface with Single-Molecule Fluorescence</w:t>
      </w:r>
      <w:r>
        <w:rPr>
          <w:rFonts w:eastAsia="Times New Roman"/>
        </w:rPr>
        <w:t>"</w:t>
      </w:r>
      <w:bookmarkStart w:id="0" w:name="_GoBack"/>
      <w:bookmarkEnd w:id="0"/>
    </w:p>
    <w:p w:rsidR="00D106A6" w:rsidRDefault="00D106A6"/>
    <w:sectPr w:rsidR="00D106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A94"/>
    <w:rsid w:val="00CF4A94"/>
    <w:rsid w:val="00D10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F6021"/>
  <w15:chartTrackingRefBased/>
  <w15:docId w15:val="{67A015E3-69A6-4F13-B2EE-3C56568FF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4A9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82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148</Words>
  <Characters>767</Characters>
  <Application>Microsoft Office Word</Application>
  <DocSecurity>0</DocSecurity>
  <Lines>30</Lines>
  <Paragraphs>12</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Melton, Mandy</dc:creator>
  <cp:keywords/>
  <dc:description/>
  <cp:lastModifiedBy>Melton, Mandy</cp:lastModifiedBy>
  <cp:revision>1</cp:revision>
  <dcterms:created xsi:type="dcterms:W3CDTF">2022-04-22T17:43:00Z</dcterms:created>
  <dcterms:modified xsi:type="dcterms:W3CDTF">2022-04-22T17:45:00Z</dcterms:modified>
</cp:coreProperties>
</file>